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12.10.2021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36-15/22-2021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INTELLINEA DOO BEOGRAD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36-15/2021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 radovi na kamenim nadgrobnim pločama u parteru i njihovo izmeštanje u severni deo porte, izrada novih kamenih stepenika i rampe za pristup hramu Uspenja Presvete Bogorodice u Novom Sadu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F02-0033516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45212350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 radovi na kamenim nadgrobnim pločama u parteru i njihovo izmeštanje u severni deo porte, izrada novih kamenih stepenika i rampe za pristup hramu Uspenja Presvete Bogorodice u Novom Sadu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1.666.666,67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GRANIT-LIJEŠĆE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103927150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Voganjski put,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Sremska Mitrovica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1.646.370,00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1.975.644,00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 radovi na kamenim nadgrobnim pločama u parteru i njihovo izmeštanje u severni deo porte, izrada novih kamenih stepenika i rampe za pristup hramu Uspenja Presvete Bogorodice u Novom Sadu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36-15/2021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36-15/4-2021, 13.09.2021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 radovi na kamenim nadgrobnim pločama u parteru i njihovo izmeštanje u severni deo porte, izrada novih kamenih stepenika i rampe za pristup hramu Uspenja Presvete Bogorodice u Novom Sadu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F02-0033516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08.10.2021 11:30:00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 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Antonija Ciganović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Ljiljana Šušnjar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Katarina Maksimov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 radovi na kamenim nadgrobnim pločama u parteru i njihovo izmeštanje u severni deo porte, izrada novih kamenih stepenika i rampe za pristup hramu Uspenja Presvete Bogorodice u Novom Sadu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08.10.2021 11:30:00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08.10.2021 11:30:15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DOO, Voganjski put, bb,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155-P/2021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7.10.2021. 22:46:35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1646370.00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1975644.00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30% od vrednosti ugovorenih radova putem avansa nakon obostrano potpisanog Ugovora, 70% od vrednosti izvedenih radova po dostavljenim privremenim i konačnoj situaciji u zakonskom roku od 45 dana od  dana dostavljanja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1646370.00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1975644.00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30% od vrednosti ugovorenih radova putem avansa nakon obostrano potpisanog Ugovora, 70% od vrednosti izvedenih radova po dostavljenim privremenim i konačnoj situaciji u zakonskom roku od 45 dana od  dana dostavljanja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1.646.370,00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1.975.644,00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1.646.370,00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pregledu ponude i stručne ocene  utvrdila i konstatovala da je ponuđač dostavio sva tražena dokumenta iz konkursne dokumentacije i da su ispravna i prihvatljiva, predlaže direktoru da ugovor dodeli  ponuđaču GRANIT-LIJEŠĆE DOO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je u pregledu ponude i stručne ocene  utvrdila i konstatovala da je ponuđač dostavio sva tražena dokumenta iz konkursne dokumentacije i da su ispravna i prihvatljiva, predlaže direktoru da ugovor dodeli  ponuđaču GRANIT-LIJEŠĆE DOO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